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C5B" w:rsidRPr="00875530" w:rsidRDefault="00CD6C5B" w:rsidP="00CD6C5B">
      <w:pPr>
        <w:spacing w:before="240" w:after="240" w:line="240" w:lineRule="auto"/>
        <w:contextualSpacing/>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CD6C5B" w:rsidRPr="00875530" w:rsidRDefault="00CD6C5B" w:rsidP="00CD6C5B">
      <w:pPr>
        <w:spacing w:before="240" w:after="240" w:line="240" w:lineRule="auto"/>
        <w:contextualSpacing/>
        <w:jc w:val="right"/>
        <w:rPr>
          <w:rFonts w:ascii="Palatino Linotype" w:hAnsi="Palatino Linotype"/>
          <w:b/>
          <w:sz w:val="24"/>
          <w:szCs w:val="24"/>
        </w:rPr>
      </w:pPr>
      <w:r>
        <w:rPr>
          <w:rFonts w:ascii="Palatino Linotype" w:hAnsi="Palatino Linotype"/>
          <w:b/>
          <w:sz w:val="24"/>
          <w:szCs w:val="24"/>
        </w:rPr>
        <w:t>Febrero 18 de 2019</w:t>
      </w:r>
    </w:p>
    <w:p w:rsidR="00CD6C5B" w:rsidRDefault="00CD6C5B" w:rsidP="00CD6C5B">
      <w:pPr>
        <w:spacing w:before="240" w:after="240" w:line="240" w:lineRule="auto"/>
        <w:contextualSpacing/>
        <w:jc w:val="right"/>
        <w:rPr>
          <w:rFonts w:ascii="Palatino Linotype" w:hAnsi="Palatino Linotype"/>
          <w:b/>
        </w:rPr>
      </w:pPr>
    </w:p>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CD6C5B">
        <w:rPr>
          <w:rFonts w:ascii="Palatino Linotype" w:hAnsi="Palatino Linotype"/>
          <w:b/>
        </w:rPr>
        <w:t>SEXTA</w:t>
      </w:r>
      <w:r w:rsidR="00606EA5" w:rsidRPr="00C2172B">
        <w:rPr>
          <w:rFonts w:ascii="Palatino Linotype" w:hAnsi="Palatino Linotype"/>
          <w:b/>
        </w:rPr>
        <w:t xml:space="preserve"> </w:t>
      </w:r>
      <w:r w:rsidRPr="00C2172B">
        <w:rPr>
          <w:rFonts w:ascii="Palatino Linotype" w:hAnsi="Palatino Linotype"/>
          <w:b/>
        </w:rPr>
        <w:t>SESIÓN ORDINARIA DEL</w:t>
      </w:r>
      <w:r w:rsidR="00606EA5" w:rsidRPr="00C2172B">
        <w:rPr>
          <w:rFonts w:ascii="Palatino Linotype" w:hAnsi="Palatino Linotype"/>
          <w:b/>
        </w:rPr>
        <w:t xml:space="preserve"> </w:t>
      </w:r>
      <w:r w:rsidR="00CD6C5B">
        <w:rPr>
          <w:rFonts w:ascii="Palatino Linotype" w:hAnsi="Palatino Linotype"/>
          <w:b/>
        </w:rPr>
        <w:t>TRECE</w:t>
      </w:r>
      <w:r w:rsidR="00606EA5" w:rsidRPr="00C2172B">
        <w:rPr>
          <w:rFonts w:ascii="Palatino Linotype" w:hAnsi="Palatino Linotype"/>
          <w:b/>
        </w:rPr>
        <w:t xml:space="preserve"> </w:t>
      </w:r>
      <w:r w:rsidRPr="00C2172B">
        <w:rPr>
          <w:rFonts w:ascii="Palatino Linotype" w:hAnsi="Palatino Linotype"/>
          <w:b/>
        </w:rPr>
        <w:t xml:space="preserve">DE </w:t>
      </w:r>
      <w:r w:rsidR="00CD6C5B">
        <w:rPr>
          <w:rFonts w:ascii="Palatino Linotype" w:hAnsi="Palatino Linotype"/>
          <w:b/>
        </w:rPr>
        <w:t>FEBRERO</w:t>
      </w:r>
      <w:r w:rsidRPr="00C2172B">
        <w:rPr>
          <w:rFonts w:ascii="Palatino Linotype" w:hAnsi="Palatino Linotype"/>
          <w:b/>
        </w:rPr>
        <w:t xml:space="preserve"> DE DOS MIL </w:t>
      </w:r>
      <w:r w:rsidR="00CD6C5B">
        <w:rPr>
          <w:rFonts w:ascii="Palatino Linotype" w:hAnsi="Palatino Linotype"/>
          <w:b/>
        </w:rPr>
        <w:t>DIECINUEVE</w:t>
      </w:r>
      <w:r w:rsidR="0043077C" w:rsidRPr="00C2172B">
        <w:rPr>
          <w:rFonts w:ascii="Palatino Linotype" w:hAnsi="Palatino Linotype"/>
          <w:b/>
        </w:rPr>
        <w:t>, EN EL</w:t>
      </w:r>
      <w:r w:rsidRPr="00C2172B">
        <w:rPr>
          <w:rFonts w:ascii="Palatino Linotype" w:hAnsi="Palatino Linotype"/>
          <w:b/>
        </w:rPr>
        <w:t xml:space="preserve"> RECURSO DE REVISIÓN </w:t>
      </w:r>
      <w:r w:rsidR="00CD6C5B">
        <w:rPr>
          <w:rFonts w:ascii="Palatino Linotype" w:hAnsi="Palatino Linotype"/>
          <w:b/>
        </w:rPr>
        <w:t>04620</w:t>
      </w:r>
      <w:r w:rsidR="007B3391" w:rsidRPr="00C2172B">
        <w:rPr>
          <w:rFonts w:ascii="Palatino Linotype" w:hAnsi="Palatino Linotype"/>
          <w:b/>
        </w:rPr>
        <w:t>/INFOEM/IP/RR/</w:t>
      </w:r>
      <w:r w:rsidR="00BD49FD" w:rsidRPr="00C2172B">
        <w:rPr>
          <w:rFonts w:ascii="Palatino Linotype" w:hAnsi="Palatino Linotype"/>
          <w:b/>
        </w:rPr>
        <w:t>2018</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CD6C5B">
        <w:rPr>
          <w:rFonts w:ascii="Palatino Linotype" w:hAnsi="Palatino Linotype" w:cs="Arial"/>
          <w:bCs/>
          <w:lang w:eastAsia="es-MX"/>
        </w:rPr>
        <w:t>04620</w:t>
      </w:r>
      <w:r w:rsidR="007B3391" w:rsidRPr="00C2172B">
        <w:rPr>
          <w:rFonts w:ascii="Palatino Linotype" w:hAnsi="Palatino Linotype" w:cs="Arial"/>
          <w:bCs/>
          <w:lang w:eastAsia="es-MX"/>
        </w:rPr>
        <w:t>/INFOEM/IP/RR/2018</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CD6C5B">
        <w:rPr>
          <w:rFonts w:ascii="Palatino Linotype" w:hAnsi="Palatino Linotype"/>
        </w:rPr>
        <w:t>la Comisionada</w:t>
      </w:r>
      <w:r w:rsidRPr="00C2172B">
        <w:rPr>
          <w:rFonts w:ascii="Palatino Linotype" w:hAnsi="Palatino Linotype"/>
        </w:rPr>
        <w:t xml:space="preserve"> </w:t>
      </w:r>
      <w:r w:rsidR="00CD6C5B">
        <w:rPr>
          <w:rFonts w:ascii="Palatino Linotype" w:hAnsi="Palatino Linotype"/>
        </w:rPr>
        <w:t>Zulema Martínez Sánchez</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CD6C5B" w:rsidRDefault="00B72322" w:rsidP="00B72322">
      <w:pPr>
        <w:spacing w:before="240" w:after="240" w:line="360" w:lineRule="auto"/>
        <w:jc w:val="both"/>
        <w:rPr>
          <w:rFonts w:ascii="Palatino Linotype" w:hAnsi="Palatino Linotype"/>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9B5C84" w:rsidRPr="00C2172B">
        <w:rPr>
          <w:rFonts w:ascii="Palatino Linotype" w:hAnsi="Palatino Linotype"/>
        </w:rPr>
        <w:t xml:space="preserve"> que la materia en que radicó el recurso</w:t>
      </w:r>
      <w:r w:rsidR="003D235F" w:rsidRPr="00C2172B">
        <w:rPr>
          <w:rFonts w:ascii="Palatino Linotype" w:hAnsi="Palatino Linotype"/>
        </w:rPr>
        <w:t xml:space="preserve"> de revisión, lo fue en</w:t>
      </w:r>
      <w:r w:rsidRPr="00C2172B">
        <w:rPr>
          <w:rFonts w:ascii="Palatino Linotype" w:hAnsi="Palatino Linotype"/>
        </w:rPr>
        <w:t xml:space="preserve"> que se proporcionara</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606EA5" w:rsidRPr="00606EA5">
        <w:rPr>
          <w:rFonts w:ascii="Palatino Linotype" w:hAnsi="Palatino Linotype" w:cs="Arial"/>
        </w:rPr>
        <w:t xml:space="preserve">Ayuntamiento de </w:t>
      </w:r>
      <w:proofErr w:type="spellStart"/>
      <w:r w:rsidR="00CD6C5B">
        <w:rPr>
          <w:rFonts w:ascii="Palatino Linotype" w:hAnsi="Palatino Linotype" w:cs="Arial"/>
        </w:rPr>
        <w:t>Joquicingo</w:t>
      </w:r>
      <w:proofErr w:type="spellEnd"/>
      <w:r w:rsidR="00DE0ADC" w:rsidRPr="00DE0ADC">
        <w:rPr>
          <w:rFonts w:ascii="Palatino Linotype" w:hAnsi="Palatino Linotype"/>
          <w:bCs/>
          <w:lang w:val="es-ES_tradnl"/>
        </w:rPr>
        <w:t>,</w:t>
      </w:r>
      <w:r w:rsidR="00E6724B" w:rsidRPr="00DE0ADC">
        <w:rPr>
          <w:rFonts w:ascii="Palatino Linotype" w:hAnsi="Palatino Linotype"/>
        </w:rPr>
        <w:t xml:space="preserve"> </w:t>
      </w:r>
      <w:r w:rsidR="00CD6C5B">
        <w:rPr>
          <w:rFonts w:ascii="Palatino Linotype" w:hAnsi="Palatino Linotype"/>
        </w:rPr>
        <w:t>lo siguiente:</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b/>
          <w:bCs/>
          <w:i/>
          <w:color w:val="000000"/>
          <w:sz w:val="20"/>
          <w:szCs w:val="20"/>
        </w:rPr>
        <w:t>I</w:t>
      </w:r>
      <w:r w:rsidRPr="00CD6C5B">
        <w:rPr>
          <w:rFonts w:ascii="Palatino Linotype" w:hAnsi="Palatino Linotype" w:cs="Arial"/>
          <w:bCs/>
          <w:i/>
          <w:color w:val="000000"/>
          <w:sz w:val="20"/>
          <w:szCs w:val="20"/>
        </w:rPr>
        <w:t xml:space="preserve">.- PRESUPUESTO DEL SISTEMA DE ALUMBRADO PÚBLICO MUNICIPAL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1. El </w:t>
      </w:r>
      <w:r w:rsidRPr="00CD6C5B">
        <w:rPr>
          <w:rFonts w:ascii="Palatino Linotype" w:hAnsi="Palatino Linotype" w:cs="Arial"/>
          <w:i/>
          <w:iCs/>
          <w:color w:val="000000"/>
          <w:sz w:val="20"/>
          <w:szCs w:val="20"/>
        </w:rPr>
        <w:t xml:space="preserve">importe por concepto </w:t>
      </w:r>
      <w:r w:rsidRPr="00CD6C5B">
        <w:rPr>
          <w:rFonts w:ascii="Palatino Linotype" w:hAnsi="Palatino Linotype" w:cs="Arial"/>
          <w:i/>
          <w:color w:val="000000"/>
          <w:sz w:val="20"/>
          <w:szCs w:val="20"/>
        </w:rPr>
        <w:t xml:space="preserve">de alumbrado público facturado por CFE en el municipio, desglosado ya sea por mes o bimestre, de los años 2013, 2014, 2015, 2016, 2017 y los meses que van de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lastRenderedPageBreak/>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CD6C5B" w:rsidRPr="00AE0EBE" w:rsidRDefault="00CD6C5B" w:rsidP="00CD6C5B">
      <w:pPr>
        <w:autoSpaceDE w:val="0"/>
        <w:autoSpaceDN w:val="0"/>
        <w:adjustRightInd w:val="0"/>
        <w:spacing w:after="0" w:line="240" w:lineRule="auto"/>
        <w:ind w:right="49"/>
        <w:jc w:val="both"/>
        <w:rPr>
          <w:rFonts w:ascii="Palatino Linotype" w:hAnsi="Palatino Linotype" w:cs="Arial"/>
          <w:b/>
          <w:i/>
          <w:color w:val="000000"/>
          <w:sz w:val="20"/>
          <w:szCs w:val="20"/>
        </w:rPr>
      </w:pPr>
      <w:r w:rsidRPr="00AE0EBE">
        <w:rPr>
          <w:rFonts w:ascii="Palatino Linotype" w:hAnsi="Palatino Linotype" w:cs="Arial"/>
          <w:b/>
          <w:bCs/>
          <w:i/>
          <w:color w:val="000000"/>
          <w:sz w:val="20"/>
          <w:szCs w:val="20"/>
        </w:rPr>
        <w:t xml:space="preserve">II.- INFRAESTRUCTURA DEL SISTEMA DE ALUMBRADO PÚBLICO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6. </w:t>
      </w:r>
      <w:r w:rsidRPr="00CD6C5B">
        <w:rPr>
          <w:rFonts w:ascii="Palatino Linotype" w:hAnsi="Palatino Linotype" w:cs="Arial"/>
          <w:i/>
          <w:iCs/>
          <w:color w:val="000000"/>
          <w:sz w:val="20"/>
          <w:szCs w:val="20"/>
        </w:rPr>
        <w:t xml:space="preserve">Se solicita el censo </w:t>
      </w:r>
      <w:r w:rsidRPr="00CD6C5B">
        <w:rPr>
          <w:rFonts w:ascii="Palatino Linotype" w:hAnsi="Palatino Linotype" w:cs="Arial"/>
          <w:i/>
          <w:color w:val="000000"/>
          <w:sz w:val="20"/>
          <w:szCs w:val="20"/>
        </w:rPr>
        <w:t xml:space="preserve">de alumbrado público de los ejercicios 2016, 2017, 2018 o en su caso, el censo más reciente del municipio, en el que se desglose la siguiente información: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a. Me indique la cantidad de luminarias y balastros, el tipo de equipos, la capacidad (</w:t>
      </w:r>
      <w:r w:rsidRPr="00CD6C5B">
        <w:rPr>
          <w:rFonts w:ascii="Palatino Linotype" w:hAnsi="Palatino Linotype" w:cs="Arial"/>
          <w:bCs/>
          <w:i/>
          <w:color w:val="000000"/>
          <w:sz w:val="20"/>
          <w:szCs w:val="20"/>
        </w:rPr>
        <w:t>potencia</w:t>
      </w:r>
      <w:r w:rsidRPr="00CD6C5B">
        <w:rPr>
          <w:rFonts w:ascii="Palatino Linotype" w:hAnsi="Palatino Linotype" w:cs="Arial"/>
          <w:i/>
          <w:color w:val="000000"/>
          <w:sz w:val="20"/>
          <w:szCs w:val="20"/>
        </w:rPr>
        <w:t>), la ubicación (</w:t>
      </w:r>
      <w:r w:rsidRPr="00CD6C5B">
        <w:rPr>
          <w:rFonts w:ascii="Palatino Linotype" w:hAnsi="Palatino Linotype" w:cs="Arial"/>
          <w:bCs/>
          <w:i/>
          <w:color w:val="000000"/>
          <w:sz w:val="20"/>
          <w:szCs w:val="20"/>
        </w:rPr>
        <w:t>calle y/o colonia y/o delegación</w:t>
      </w:r>
      <w:r w:rsidRPr="00CD6C5B">
        <w:rPr>
          <w:rFonts w:ascii="Palatino Linotype" w:hAnsi="Palatino Linotype" w:cs="Arial"/>
          <w:i/>
          <w:color w:val="000000"/>
          <w:sz w:val="20"/>
          <w:szCs w:val="20"/>
        </w:rPr>
        <w:t>), y el tipo de poste en el que están montadas las luminarias (</w:t>
      </w:r>
      <w:r w:rsidRPr="00CD6C5B">
        <w:rPr>
          <w:rFonts w:ascii="Palatino Linotype" w:hAnsi="Palatino Linotype" w:cs="Arial"/>
          <w:bCs/>
          <w:i/>
          <w:color w:val="000000"/>
          <w:sz w:val="20"/>
          <w:szCs w:val="20"/>
        </w:rPr>
        <w:t>lámina, concreto, madera etcétera</w:t>
      </w:r>
      <w:r w:rsidRPr="00CD6C5B">
        <w:rPr>
          <w:rFonts w:ascii="Palatino Linotype" w:hAnsi="Palatino Linotype" w:cs="Arial"/>
          <w:i/>
          <w:color w:val="000000"/>
          <w:sz w:val="20"/>
          <w:szCs w:val="20"/>
        </w:rPr>
        <w:t xml:space="preserve">).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b. El </w:t>
      </w:r>
      <w:r w:rsidRPr="00CD6C5B">
        <w:rPr>
          <w:rFonts w:ascii="Palatino Linotype" w:hAnsi="Palatino Linotype" w:cs="Arial"/>
          <w:bCs/>
          <w:i/>
          <w:color w:val="000000"/>
          <w:sz w:val="20"/>
          <w:szCs w:val="20"/>
        </w:rPr>
        <w:t xml:space="preserve">Registro Permanente de Usuario </w:t>
      </w:r>
      <w:r w:rsidRPr="00CD6C5B">
        <w:rPr>
          <w:rFonts w:ascii="Palatino Linotype" w:hAnsi="Palatino Linotype" w:cs="Arial"/>
          <w:i/>
          <w:color w:val="000000"/>
          <w:sz w:val="20"/>
          <w:szCs w:val="20"/>
        </w:rPr>
        <w:t xml:space="preserve">(RPU o </w:t>
      </w:r>
      <w:proofErr w:type="spellStart"/>
      <w:r w:rsidRPr="00CD6C5B">
        <w:rPr>
          <w:rFonts w:ascii="Palatino Linotype" w:hAnsi="Palatino Linotype" w:cs="Arial"/>
          <w:i/>
          <w:color w:val="000000"/>
          <w:sz w:val="20"/>
          <w:szCs w:val="20"/>
        </w:rPr>
        <w:t>RPUs</w:t>
      </w:r>
      <w:proofErr w:type="spellEnd"/>
      <w:r w:rsidRPr="00CD6C5B">
        <w:rPr>
          <w:rFonts w:ascii="Palatino Linotype" w:hAnsi="Palatino Linotype" w:cs="Arial"/>
          <w:i/>
          <w:color w:val="000000"/>
          <w:sz w:val="20"/>
          <w:szCs w:val="20"/>
        </w:rPr>
        <w:t xml:space="preserve">) asignado (s) al servicio de alumbrado público municipal </w:t>
      </w:r>
      <w:r w:rsidRPr="00CD6C5B">
        <w:rPr>
          <w:rFonts w:ascii="Palatino Linotype" w:hAnsi="Palatino Linotype" w:cs="Arial"/>
          <w:bCs/>
          <w:i/>
          <w:color w:val="000000"/>
          <w:sz w:val="20"/>
          <w:szCs w:val="20"/>
        </w:rPr>
        <w:t>tanto del servicio estimado como del servicio medido</w:t>
      </w:r>
      <w:r w:rsidRPr="00CD6C5B">
        <w:rPr>
          <w:rFonts w:ascii="Palatino Linotype" w:hAnsi="Palatino Linotype" w:cs="Arial"/>
          <w:i/>
          <w:color w:val="000000"/>
          <w:sz w:val="20"/>
          <w:szCs w:val="20"/>
        </w:rPr>
        <w:t xml:space="preserve">.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c. La cantidad desglosada de luminarias y balastros instalados, el tipo de equipos y su capacidad (potencia) </w:t>
      </w:r>
      <w:r w:rsidRPr="00CD6C5B">
        <w:rPr>
          <w:rFonts w:ascii="Palatino Linotype" w:hAnsi="Palatino Linotype" w:cs="Arial"/>
          <w:bCs/>
          <w:i/>
          <w:color w:val="000000"/>
          <w:sz w:val="20"/>
          <w:szCs w:val="20"/>
        </w:rPr>
        <w:t xml:space="preserve">instalados en las avenidas principales del municipio.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d. La cantidad de luminarias y balastros instalados, el tipo de equipos y su capacidad (potencia) instalados que </w:t>
      </w:r>
      <w:r w:rsidRPr="00CD6C5B">
        <w:rPr>
          <w:rFonts w:ascii="Palatino Linotype" w:hAnsi="Palatino Linotype" w:cs="Arial"/>
          <w:bCs/>
          <w:i/>
          <w:color w:val="000000"/>
          <w:sz w:val="20"/>
          <w:szCs w:val="20"/>
        </w:rPr>
        <w:t>poseen equipo de medición</w:t>
      </w:r>
      <w:r w:rsidRPr="00CD6C5B">
        <w:rPr>
          <w:rFonts w:ascii="Palatino Linotype" w:hAnsi="Palatino Linotype" w:cs="Arial"/>
          <w:i/>
          <w:color w:val="000000"/>
          <w:sz w:val="20"/>
          <w:szCs w:val="20"/>
        </w:rPr>
        <w:t xml:space="preserve">.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7. Del </w:t>
      </w:r>
      <w:r w:rsidRPr="00CD6C5B">
        <w:rPr>
          <w:rFonts w:ascii="Palatino Linotype" w:hAnsi="Palatino Linotype" w:cs="Arial"/>
          <w:i/>
          <w:iCs/>
          <w:color w:val="000000"/>
          <w:sz w:val="20"/>
          <w:szCs w:val="20"/>
        </w:rPr>
        <w:t xml:space="preserve">censo anterior al censo más reciente </w:t>
      </w:r>
      <w:r w:rsidRPr="00CD6C5B">
        <w:rPr>
          <w:rFonts w:ascii="Palatino Linotype" w:hAnsi="Palatino Linotype" w:cs="Arial"/>
          <w:i/>
          <w:color w:val="000000"/>
          <w:sz w:val="20"/>
          <w:szCs w:val="20"/>
        </w:rPr>
        <w:t xml:space="preserve">de luminarias y balastros del sistema de alumbrado público municipal que exista en el municipio, que contenga la siguiente información: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e. La cantidad de luminarias y balastros, el tipo de equipos, la capacidad (potencia), la ubicación (calle y/o colonia y/o delegación) y el tipo de poste en el que están montadas las luminarias (lámina, concreto, madera, etcétera).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f. El </w:t>
      </w:r>
      <w:r w:rsidRPr="00CD6C5B">
        <w:rPr>
          <w:rFonts w:ascii="Palatino Linotype" w:hAnsi="Palatino Linotype" w:cs="Arial"/>
          <w:bCs/>
          <w:i/>
          <w:color w:val="000000"/>
          <w:sz w:val="20"/>
          <w:szCs w:val="20"/>
        </w:rPr>
        <w:t xml:space="preserve">Registro Permanente de Usuario </w:t>
      </w:r>
      <w:r w:rsidRPr="00CD6C5B">
        <w:rPr>
          <w:rFonts w:ascii="Palatino Linotype" w:hAnsi="Palatino Linotype" w:cs="Arial"/>
          <w:i/>
          <w:color w:val="000000"/>
          <w:sz w:val="20"/>
          <w:szCs w:val="20"/>
        </w:rPr>
        <w:t xml:space="preserve">(RPU o </w:t>
      </w:r>
      <w:proofErr w:type="spellStart"/>
      <w:r w:rsidRPr="00CD6C5B">
        <w:rPr>
          <w:rFonts w:ascii="Palatino Linotype" w:hAnsi="Palatino Linotype" w:cs="Arial"/>
          <w:i/>
          <w:color w:val="000000"/>
          <w:sz w:val="20"/>
          <w:szCs w:val="20"/>
        </w:rPr>
        <w:t>RPUs</w:t>
      </w:r>
      <w:proofErr w:type="spellEnd"/>
      <w:r w:rsidRPr="00CD6C5B">
        <w:rPr>
          <w:rFonts w:ascii="Palatino Linotype" w:hAnsi="Palatino Linotype" w:cs="Arial"/>
          <w:i/>
          <w:color w:val="000000"/>
          <w:sz w:val="20"/>
          <w:szCs w:val="20"/>
        </w:rPr>
        <w:t xml:space="preserve">) asignado (s) al servicio de alumbrado público municipal tanto del servicio estimado como del servicio medido. </w:t>
      </w:r>
    </w:p>
    <w:p w:rsidR="00CD6C5B" w:rsidRPr="00AE0EBE" w:rsidRDefault="00CD6C5B" w:rsidP="00CD6C5B">
      <w:pPr>
        <w:autoSpaceDE w:val="0"/>
        <w:autoSpaceDN w:val="0"/>
        <w:adjustRightInd w:val="0"/>
        <w:spacing w:after="0" w:line="240" w:lineRule="auto"/>
        <w:ind w:right="49"/>
        <w:jc w:val="both"/>
        <w:rPr>
          <w:rFonts w:ascii="Palatino Linotype" w:hAnsi="Palatino Linotype" w:cs="Arial"/>
          <w:b/>
          <w:i/>
          <w:color w:val="000000"/>
          <w:sz w:val="20"/>
          <w:szCs w:val="20"/>
        </w:rPr>
      </w:pPr>
      <w:r w:rsidRPr="00AE0EBE">
        <w:rPr>
          <w:rFonts w:ascii="Palatino Linotype" w:hAnsi="Palatino Linotype" w:cs="Arial"/>
          <w:b/>
          <w:bCs/>
          <w:i/>
          <w:color w:val="000000"/>
          <w:sz w:val="20"/>
          <w:szCs w:val="20"/>
        </w:rPr>
        <w:t xml:space="preserve">III.- COBERTURA (EXPANSIÓN) DEL SISTEMA DE ALUMBRADO PÚBLICO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8. En caso de que el municipio haya realizado un </w:t>
      </w:r>
      <w:r w:rsidRPr="00CD6C5B">
        <w:rPr>
          <w:rFonts w:ascii="Palatino Linotype" w:hAnsi="Palatino Linotype" w:cs="Arial"/>
          <w:i/>
          <w:iCs/>
          <w:color w:val="000000"/>
          <w:sz w:val="20"/>
          <w:szCs w:val="20"/>
        </w:rPr>
        <w:t xml:space="preserve">proyecto de electrificación </w:t>
      </w:r>
      <w:r w:rsidRPr="00CD6C5B">
        <w:rPr>
          <w:rFonts w:ascii="Palatino Linotype" w:hAnsi="Palatino Linotype" w:cs="Arial"/>
          <w:i/>
          <w:color w:val="000000"/>
          <w:sz w:val="20"/>
          <w:szCs w:val="20"/>
        </w:rPr>
        <w:t xml:space="preserve">para ampliar el sistema de alumbrado público y ofrecer este servicio a la o las comunidades durante los años 2013, 2014, 2015, 2016, 2017 y los meses que van de 2018, solicito la siguiente información desglosada: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a. El monto total de la inversión,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b. El tipo o fuente de financiamiento (recurso propio, recurso estatal, recurso federal, crédito, arrendamiento, APP, etcétera),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c. La cantidad de equipos colocados y/o sustituidos,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d. El tipo de equipos (Led, VSAP, suburbana, etcétera),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e. La capacidad instalada (potencia),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lastRenderedPageBreak/>
        <w:t xml:space="preserve">f. La ubicación (calle y/o colonia y/o delegación).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g. La fecha de inicio y término de obra,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h. Así como la fecha de modificación de su nuevo consumo en el sistema de facturación del alumbrado público ante CFE.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i. En donde se notificaron o publicaron los proyectos. </w:t>
      </w:r>
    </w:p>
    <w:p w:rsidR="00CD6C5B" w:rsidRPr="00AE0EBE" w:rsidRDefault="00CD6C5B" w:rsidP="00CD6C5B">
      <w:pPr>
        <w:autoSpaceDE w:val="0"/>
        <w:autoSpaceDN w:val="0"/>
        <w:adjustRightInd w:val="0"/>
        <w:spacing w:after="0" w:line="240" w:lineRule="auto"/>
        <w:ind w:right="49"/>
        <w:jc w:val="both"/>
        <w:rPr>
          <w:rFonts w:ascii="Palatino Linotype" w:hAnsi="Palatino Linotype" w:cs="Arial"/>
          <w:b/>
          <w:i/>
          <w:color w:val="000000"/>
          <w:sz w:val="20"/>
          <w:szCs w:val="20"/>
        </w:rPr>
      </w:pPr>
      <w:r w:rsidRPr="00AE0EBE">
        <w:rPr>
          <w:rFonts w:ascii="Palatino Linotype" w:hAnsi="Palatino Linotype" w:cs="Arial"/>
          <w:b/>
          <w:bCs/>
          <w:i/>
          <w:color w:val="000000"/>
          <w:sz w:val="20"/>
          <w:szCs w:val="20"/>
        </w:rPr>
        <w:t xml:space="preserve">IV.- MODERNIZACIÓN DEL SISTEMA DE ALUMBRADO PÚBLICO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a. El monto total de la inversión,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b. El tipo o fuente de financiamiento (recurso propio, recurso estatal, recurso federal, crédito, arrendamiento, APP, etcétera),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c. La cantidad de equipos colocados y/o sustituidos,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d. El tipo de equipos (Led, VSAP, suburbana, etcétera),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e. La capacidad instalada (potencia),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f. La ubicación (calle y/o colonia y/o delegación).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g. La fecha de inicio y término de obra,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h. La georreferenciación de cada uno de los puntos de luz del nuevo alumbrado público,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i. La fecha de modificación de su nuevo consumo en el sistema de facturación del alumbrado público ante CFE.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j. El tipo de contrato celebrado para la adquisición de los nuevos equipos (licitación en su modalidad abierta o restringida, o adjudicación directa)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k. Número y nombre de las empresas concursantes o convocadas. </w:t>
      </w:r>
    </w:p>
    <w:p w:rsidR="00CD6C5B" w:rsidRPr="00CD6C5B" w:rsidRDefault="00CD6C5B" w:rsidP="00CD6C5B">
      <w:pPr>
        <w:autoSpaceDE w:val="0"/>
        <w:autoSpaceDN w:val="0"/>
        <w:adjustRightInd w:val="0"/>
        <w:spacing w:after="2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l. Los criterios de selección utilizados por el comité de adquisiciones para elegir a la empresa contratada para realizar la modernización del sistema de alumbrado público.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m. El acta de cabildo en el cual se fundamenta, justifica, expone y autoriza el proyecto.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10. El número de solicitudes ciudadanas formales realizadas al municipio para ampliar el sistema de alumbrado público mediante proyectos de electrificación durante los años 2013, 2014, 2015, 2016, 2017 y los meses que van de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11. El número de solicitudes ciudadanas que fueron atendidas y concluidas para ampliar el sistema de alumbrado público durante los años 2013, 2014, 2015, 2016, 2017 y los meses que van del 2018. </w:t>
      </w:r>
    </w:p>
    <w:p w:rsidR="00CD6C5B" w:rsidRPr="00AE0EBE" w:rsidRDefault="00CD6C5B" w:rsidP="00CD6C5B">
      <w:pPr>
        <w:autoSpaceDE w:val="0"/>
        <w:autoSpaceDN w:val="0"/>
        <w:adjustRightInd w:val="0"/>
        <w:spacing w:after="0" w:line="240" w:lineRule="auto"/>
        <w:ind w:right="49"/>
        <w:jc w:val="both"/>
        <w:rPr>
          <w:rFonts w:ascii="Palatino Linotype" w:hAnsi="Palatino Linotype" w:cs="Arial"/>
          <w:b/>
          <w:i/>
          <w:color w:val="000000"/>
          <w:sz w:val="20"/>
          <w:szCs w:val="20"/>
        </w:rPr>
      </w:pPr>
      <w:r w:rsidRPr="00AE0EBE">
        <w:rPr>
          <w:rFonts w:ascii="Palatino Linotype" w:hAnsi="Palatino Linotype" w:cs="Arial"/>
          <w:b/>
          <w:bCs/>
          <w:i/>
          <w:color w:val="000000"/>
          <w:sz w:val="20"/>
          <w:szCs w:val="20"/>
        </w:rPr>
        <w:t xml:space="preserve">V.- ADMINISTRACIÓN DEL SERVICIO DE ALUMBRADO PÚBLICO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1. Se solicita Copia del </w:t>
      </w:r>
      <w:r w:rsidRPr="00CD6C5B">
        <w:rPr>
          <w:rFonts w:ascii="Palatino Linotype" w:hAnsi="Palatino Linotype" w:cs="Arial"/>
          <w:bCs/>
          <w:i/>
          <w:color w:val="000000"/>
          <w:sz w:val="20"/>
          <w:szCs w:val="20"/>
        </w:rPr>
        <w:t xml:space="preserve">contrato de prestación de servicios </w:t>
      </w:r>
      <w:r w:rsidRPr="00CD6C5B">
        <w:rPr>
          <w:rFonts w:ascii="Palatino Linotype" w:hAnsi="Palatino Linotype" w:cs="Arial"/>
          <w:i/>
          <w:color w:val="000000"/>
          <w:sz w:val="20"/>
          <w:szCs w:val="20"/>
        </w:rPr>
        <w:t xml:space="preserve">por concepto de suministro de energía eléctrica por parte de la </w:t>
      </w:r>
      <w:r w:rsidRPr="00CD6C5B">
        <w:rPr>
          <w:rFonts w:ascii="Palatino Linotype" w:hAnsi="Palatino Linotype" w:cs="Arial"/>
          <w:bCs/>
          <w:i/>
          <w:color w:val="000000"/>
          <w:sz w:val="20"/>
          <w:szCs w:val="20"/>
        </w:rPr>
        <w:t xml:space="preserve">CFE al municipio </w:t>
      </w:r>
      <w:r w:rsidRPr="00CD6C5B">
        <w:rPr>
          <w:rFonts w:ascii="Palatino Linotype" w:hAnsi="Palatino Linotype" w:cs="Arial"/>
          <w:i/>
          <w:color w:val="000000"/>
          <w:sz w:val="20"/>
          <w:szCs w:val="20"/>
        </w:rPr>
        <w:t xml:space="preserve">(ayuntamiento).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2. Se solicita Copia del </w:t>
      </w:r>
      <w:r w:rsidRPr="00CD6C5B">
        <w:rPr>
          <w:rFonts w:ascii="Palatino Linotype" w:hAnsi="Palatino Linotype" w:cs="Arial"/>
          <w:bCs/>
          <w:i/>
          <w:color w:val="000000"/>
          <w:sz w:val="20"/>
          <w:szCs w:val="20"/>
        </w:rPr>
        <w:t xml:space="preserve">convenio de “Peso por Peso” firmado entre la CFE y el municipio </w:t>
      </w:r>
      <w:r w:rsidRPr="00CD6C5B">
        <w:rPr>
          <w:rFonts w:ascii="Palatino Linotype" w:hAnsi="Palatino Linotype" w:cs="Arial"/>
          <w:i/>
          <w:color w:val="000000"/>
          <w:sz w:val="20"/>
          <w:szCs w:val="20"/>
        </w:rPr>
        <w:t xml:space="preserve">(ayuntamiento).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3. Se solicita Copia del </w:t>
      </w:r>
      <w:r w:rsidRPr="00CD6C5B">
        <w:rPr>
          <w:rFonts w:ascii="Palatino Linotype" w:hAnsi="Palatino Linotype" w:cs="Arial"/>
          <w:bCs/>
          <w:i/>
          <w:color w:val="000000"/>
          <w:sz w:val="20"/>
          <w:szCs w:val="20"/>
        </w:rPr>
        <w:t xml:space="preserve">convenio para recaudar el Derecho de Alumbrado Público “DAP” </w:t>
      </w:r>
      <w:r w:rsidRPr="00CD6C5B">
        <w:rPr>
          <w:rFonts w:ascii="Palatino Linotype" w:hAnsi="Palatino Linotype" w:cs="Arial"/>
          <w:i/>
          <w:color w:val="000000"/>
          <w:sz w:val="20"/>
          <w:szCs w:val="20"/>
        </w:rPr>
        <w:t xml:space="preserve">firmado entre la CFE y el municipio (ayuntamiento). Así como la recaudación (monto) reportado por CFE al municipio de los años 2013, 2014, 2015, 2016, 2017 y los meses que van de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lastRenderedPageBreak/>
        <w:t xml:space="preserve">4. El listado y/o número de juicios y controversias promovidos por particulares en contra del municipio por el cobro del Derecho de Alumbrado Público “DAP” durante los años 2013, 2014, 2015, 2016, 2017 y los meses que van de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CD6C5B" w:rsidRPr="00CD6C5B" w:rsidRDefault="00CD6C5B" w:rsidP="00CD6C5B">
      <w:pPr>
        <w:autoSpaceDE w:val="0"/>
        <w:autoSpaceDN w:val="0"/>
        <w:adjustRightInd w:val="0"/>
        <w:spacing w:after="0" w:line="240" w:lineRule="auto"/>
        <w:ind w:right="49"/>
        <w:jc w:val="both"/>
        <w:rPr>
          <w:rFonts w:ascii="Palatino Linotype" w:hAnsi="Palatino Linotype" w:cs="Arial"/>
          <w:i/>
          <w:color w:val="000000"/>
          <w:sz w:val="20"/>
          <w:szCs w:val="20"/>
        </w:rPr>
      </w:pPr>
      <w:r w:rsidRPr="00CD6C5B">
        <w:rPr>
          <w:rFonts w:ascii="Palatino Linotype" w:hAnsi="Palatino Linotype" w:cs="Arial"/>
          <w:i/>
          <w:color w:val="000000"/>
          <w:sz w:val="20"/>
          <w:szCs w:val="20"/>
        </w:rPr>
        <w:t>6. Las normas y lineamientos que el municipio sigue para operar y proporcionar el servicio de alumbrado público municipal.</w:t>
      </w:r>
    </w:p>
    <w:p w:rsidR="007B3391" w:rsidRPr="00C2172B" w:rsidRDefault="00CD6C5B" w:rsidP="00B72322">
      <w:pPr>
        <w:spacing w:before="240" w:after="240" w:line="360" w:lineRule="auto"/>
        <w:jc w:val="both"/>
        <w:rPr>
          <w:rFonts w:ascii="Palatino Linotype" w:hAnsi="Palatino Linotype"/>
        </w:rPr>
      </w:pPr>
      <w:r>
        <w:rPr>
          <w:rFonts w:ascii="Palatino Linotype" w:hAnsi="Palatino Linotype"/>
        </w:rPr>
        <w:t>Por su parte el</w:t>
      </w:r>
      <w:r w:rsidR="00385164" w:rsidRPr="00C2172B">
        <w:rPr>
          <w:rFonts w:ascii="Palatino Linotype" w:hAnsi="Palatino Linotype"/>
        </w:rPr>
        <w:t xml:space="preserve"> Sujeto Obligado </w:t>
      </w:r>
      <w:r>
        <w:rPr>
          <w:rFonts w:ascii="Palatino Linotype" w:hAnsi="Palatino Linotype"/>
        </w:rPr>
        <w:t xml:space="preserve">otorga respuesta </w:t>
      </w:r>
      <w:r w:rsidR="00E204B0">
        <w:rPr>
          <w:rFonts w:ascii="Palatino Linotype" w:hAnsi="Palatino Linotype"/>
        </w:rPr>
        <w:t xml:space="preserve">en el sentido que con base en </w:t>
      </w:r>
      <w:r>
        <w:rPr>
          <w:rFonts w:ascii="Palatino Linotype" w:hAnsi="Palatino Linotype"/>
        </w:rPr>
        <w:t>la Ley de Protección de Datos Personales, favor de comunicarse directamente con la presidencia municipal proporcionando un número telefónico.</w:t>
      </w:r>
    </w:p>
    <w:p w:rsidR="00E204B0" w:rsidRDefault="00F44D4F" w:rsidP="00B72322">
      <w:pPr>
        <w:spacing w:before="240" w:after="240" w:line="360" w:lineRule="auto"/>
        <w:jc w:val="both"/>
        <w:rPr>
          <w:rFonts w:ascii="Palatino Linotype" w:hAnsi="Palatino Linotype"/>
        </w:rPr>
      </w:pPr>
      <w:r w:rsidRPr="00C2172B">
        <w:rPr>
          <w:rFonts w:ascii="Palatino Linotype" w:hAnsi="Palatino Linotype"/>
        </w:rPr>
        <w:t>Aunado a lo anterior el Sujeto Obligado fue omiso en presentar su informe justificado, ofrecer pruebas, o presentar alegato alguno</w:t>
      </w:r>
      <w:r w:rsidR="00E204B0">
        <w:rPr>
          <w:rFonts w:ascii="Palatino Linotype" w:hAnsi="Palatino Linotype"/>
        </w:rPr>
        <w:t>.</w:t>
      </w:r>
    </w:p>
    <w:p w:rsidR="00E204B0" w:rsidRDefault="00E204B0" w:rsidP="00B72322">
      <w:pPr>
        <w:spacing w:before="240" w:after="240" w:line="360" w:lineRule="auto"/>
        <w:jc w:val="both"/>
        <w:rPr>
          <w:rFonts w:ascii="Palatino Linotype" w:hAnsi="Palatino Linotype"/>
        </w:rPr>
      </w:pPr>
      <w:r>
        <w:rPr>
          <w:rFonts w:ascii="Palatino Linotype" w:hAnsi="Palatino Linotype"/>
        </w:rPr>
        <w:t>Así las cosas la Comisionada</w:t>
      </w:r>
      <w:r w:rsidR="00F44D4F" w:rsidRPr="00C2172B">
        <w:rPr>
          <w:rFonts w:ascii="Palatino Linotype" w:hAnsi="Palatino Linotype"/>
        </w:rPr>
        <w:t xml:space="preserve"> ponente, en la resolución presentada ante el Pleno </w:t>
      </w:r>
      <w:r>
        <w:rPr>
          <w:rFonts w:ascii="Palatino Linotype" w:hAnsi="Palatino Linotype"/>
        </w:rPr>
        <w:t xml:space="preserve">si bien cita la fuente obligacional del Sujeto Obligado con la que acredita que de acuerdo a sus funciones o facultades, debe contar con la información solicitada en sus archivos que genera, administra o poseer, sin embargo la ponencia </w:t>
      </w:r>
      <w:r w:rsidR="00AE0EBE">
        <w:rPr>
          <w:rFonts w:ascii="Palatino Linotype" w:hAnsi="Palatino Linotype"/>
        </w:rPr>
        <w:t>resolutoria</w:t>
      </w:r>
      <w:r>
        <w:rPr>
          <w:rFonts w:ascii="Palatino Linotype" w:hAnsi="Palatino Linotype"/>
        </w:rPr>
        <w:t xml:space="preserve"> en la resolución materia del presente voto, no hizo algún pronunciamiento sobre los siguientes puntos:</w:t>
      </w:r>
    </w:p>
    <w:p w:rsidR="00E204B0" w:rsidRDefault="00E204B0" w:rsidP="00E204B0">
      <w:pPr>
        <w:tabs>
          <w:tab w:val="left" w:pos="5205"/>
        </w:tabs>
        <w:jc w:val="both"/>
        <w:rPr>
          <w:rFonts w:ascii="Palatino Linotype" w:hAnsi="Palatino Linotype"/>
          <w:b/>
        </w:rPr>
      </w:pPr>
      <w:r>
        <w:rPr>
          <w:rFonts w:ascii="Palatino Linotype" w:hAnsi="Palatino Linotype"/>
          <w:b/>
        </w:rPr>
        <w:t>-Documentos de los pagos realizados a la CFE por el servicio de energía eléctrica para la prestación del servicio de alumbrado público.</w:t>
      </w:r>
    </w:p>
    <w:p w:rsidR="00E204B0" w:rsidRDefault="00E204B0" w:rsidP="00E204B0">
      <w:pPr>
        <w:tabs>
          <w:tab w:val="left" w:pos="5205"/>
        </w:tabs>
        <w:jc w:val="both"/>
        <w:rPr>
          <w:rFonts w:ascii="Palatino Linotype" w:hAnsi="Palatino Linotype"/>
          <w:b/>
        </w:rPr>
      </w:pPr>
      <w:r>
        <w:rPr>
          <w:rFonts w:ascii="Palatino Linotype" w:hAnsi="Palatino Linotype"/>
          <w:b/>
        </w:rPr>
        <w:t>-Censo de luminaria.</w:t>
      </w:r>
    </w:p>
    <w:p w:rsidR="00E204B0" w:rsidRDefault="00E204B0" w:rsidP="00E204B0">
      <w:pPr>
        <w:tabs>
          <w:tab w:val="left" w:pos="5205"/>
        </w:tabs>
        <w:jc w:val="both"/>
        <w:rPr>
          <w:rFonts w:ascii="Palatino Linotype" w:hAnsi="Palatino Linotype"/>
          <w:b/>
        </w:rPr>
      </w:pPr>
      <w:r>
        <w:rPr>
          <w:rFonts w:ascii="Palatino Linotype" w:hAnsi="Palatino Linotype"/>
          <w:b/>
        </w:rPr>
        <w:t>-Solicitudes formuladas por la ciudadanía para la ampliación del servicio de alumbrado público.</w:t>
      </w:r>
    </w:p>
    <w:p w:rsidR="00E204B0" w:rsidRDefault="00E204B0" w:rsidP="00E204B0">
      <w:pPr>
        <w:tabs>
          <w:tab w:val="left" w:pos="5205"/>
        </w:tabs>
        <w:jc w:val="both"/>
        <w:rPr>
          <w:rFonts w:ascii="Palatino Linotype" w:hAnsi="Palatino Linotype"/>
          <w:b/>
        </w:rPr>
      </w:pPr>
      <w:r>
        <w:rPr>
          <w:rFonts w:ascii="Palatino Linotype" w:hAnsi="Palatino Linotype"/>
          <w:b/>
        </w:rPr>
        <w:t>-Solicitudes atendidas por el ayuntamiento.</w:t>
      </w:r>
    </w:p>
    <w:p w:rsidR="00E204B0" w:rsidRDefault="00E204B0" w:rsidP="00E204B0">
      <w:pPr>
        <w:tabs>
          <w:tab w:val="left" w:pos="5205"/>
        </w:tabs>
        <w:jc w:val="both"/>
        <w:rPr>
          <w:rFonts w:ascii="Palatino Linotype" w:hAnsi="Palatino Linotype"/>
          <w:b/>
        </w:rPr>
      </w:pPr>
      <w:r>
        <w:rPr>
          <w:rFonts w:ascii="Palatino Linotype" w:hAnsi="Palatino Linotype"/>
          <w:b/>
        </w:rPr>
        <w:t>-Juicios contenciosos respecto del servicio de alumbrado público.</w:t>
      </w:r>
    </w:p>
    <w:p w:rsidR="00E204B0" w:rsidRDefault="00E204B0" w:rsidP="00E204B0">
      <w:pPr>
        <w:tabs>
          <w:tab w:val="left" w:pos="5205"/>
        </w:tabs>
        <w:jc w:val="both"/>
        <w:rPr>
          <w:rFonts w:ascii="Palatino Linotype" w:hAnsi="Palatino Linotype"/>
          <w:b/>
        </w:rPr>
      </w:pPr>
      <w:r>
        <w:rPr>
          <w:rFonts w:ascii="Palatino Linotype" w:hAnsi="Palatino Linotype"/>
          <w:b/>
        </w:rPr>
        <w:t>-Contrato del ayuntamiento con CFE para el servicio de energía eléctrica.</w:t>
      </w:r>
    </w:p>
    <w:p w:rsidR="00E204B0" w:rsidRDefault="00E204B0" w:rsidP="00E204B0">
      <w:pPr>
        <w:tabs>
          <w:tab w:val="left" w:pos="5205"/>
        </w:tabs>
        <w:jc w:val="both"/>
        <w:rPr>
          <w:rFonts w:ascii="Palatino Linotype" w:hAnsi="Palatino Linotype"/>
          <w:b/>
        </w:rPr>
      </w:pPr>
      <w:r>
        <w:rPr>
          <w:rFonts w:ascii="Palatino Linotype" w:hAnsi="Palatino Linotype"/>
          <w:b/>
        </w:rPr>
        <w:lastRenderedPageBreak/>
        <w:t>-Contrato peso a peso con CFE.</w:t>
      </w:r>
    </w:p>
    <w:p w:rsidR="00E204B0" w:rsidRPr="0025439B" w:rsidRDefault="00E204B0" w:rsidP="00E204B0">
      <w:pPr>
        <w:tabs>
          <w:tab w:val="left" w:pos="5205"/>
        </w:tabs>
        <w:jc w:val="both"/>
        <w:rPr>
          <w:rFonts w:ascii="Palatino Linotype" w:hAnsi="Palatino Linotype"/>
          <w:b/>
        </w:rPr>
      </w:pPr>
      <w:r>
        <w:rPr>
          <w:rFonts w:ascii="Palatino Linotype" w:hAnsi="Palatino Linotype"/>
          <w:b/>
        </w:rPr>
        <w:t>-Normas o lineamiento que observa el ayuntamiento respecto al servicio de alumbrado público.</w:t>
      </w:r>
    </w:p>
    <w:p w:rsidR="00412842" w:rsidRDefault="00E204B0" w:rsidP="00B72322">
      <w:pPr>
        <w:spacing w:before="240" w:after="240" w:line="360" w:lineRule="auto"/>
        <w:jc w:val="both"/>
        <w:rPr>
          <w:rFonts w:ascii="Palatino Linotype" w:hAnsi="Palatino Linotype"/>
        </w:rPr>
      </w:pPr>
      <w:r>
        <w:rPr>
          <w:rFonts w:ascii="Palatino Linotype" w:hAnsi="Palatino Linotype"/>
        </w:rPr>
        <w:t>Limitándose a referirse la ponencia resolutoria en el</w:t>
      </w:r>
      <w:r w:rsidR="00412842">
        <w:rPr>
          <w:rFonts w:ascii="Palatino Linotype" w:hAnsi="Palatino Linotype"/>
        </w:rPr>
        <w:t xml:space="preserve"> estudio todo lo referente al presupuesto, omitiendo el análisis de los puntos referidos con antelación; es decir no analizó o prejuzgó</w:t>
      </w:r>
      <w:r w:rsidR="004E4A6C" w:rsidRPr="00C2172B">
        <w:rPr>
          <w:rFonts w:ascii="Palatino Linotype" w:hAnsi="Palatino Linotype"/>
        </w:rPr>
        <w:t xml:space="preserve"> si la información </w:t>
      </w:r>
      <w:r w:rsidR="00412842">
        <w:rPr>
          <w:rFonts w:ascii="Palatino Linotype" w:hAnsi="Palatino Linotype"/>
        </w:rPr>
        <w:t xml:space="preserve">referida </w:t>
      </w:r>
      <w:r w:rsidR="004E4A6C" w:rsidRPr="00C2172B">
        <w:rPr>
          <w:rFonts w:ascii="Palatino Linotype" w:hAnsi="Palatino Linotype"/>
        </w:rPr>
        <w:t>que le fue solicitada obra en los archivos del Sujeto Obligado, dejánd</w:t>
      </w:r>
      <w:r w:rsidR="004624D5" w:rsidRPr="00C2172B">
        <w:rPr>
          <w:rFonts w:ascii="Palatino Linotype" w:hAnsi="Palatino Linotype"/>
        </w:rPr>
        <w:t xml:space="preserve">ole el deber a éste </w:t>
      </w:r>
      <w:r w:rsidR="004E4A6C" w:rsidRPr="00C2172B">
        <w:rPr>
          <w:rFonts w:ascii="Palatino Linotype" w:hAnsi="Palatino Linotype"/>
        </w:rPr>
        <w:t xml:space="preserve">de sustanciar todo el procedimiento de acceso a la información pública verificando si la información que se le requirió corresponde al ejercicio de sus facultades, competencias o funciones; </w:t>
      </w:r>
      <w:r w:rsidR="004624D5" w:rsidRPr="00C2172B">
        <w:rPr>
          <w:rFonts w:ascii="Palatino Linotype" w:hAnsi="Palatino Linotype"/>
        </w:rPr>
        <w:t xml:space="preserve">luego, </w:t>
      </w:r>
      <w:r w:rsidR="004E4A6C" w:rsidRPr="00C2172B">
        <w:rPr>
          <w:rFonts w:ascii="Palatino Linotype" w:hAnsi="Palatino Linotype"/>
        </w:rPr>
        <w:t xml:space="preserve">si la información se encuentra en dicho supuesto </w:t>
      </w:r>
      <w:r w:rsidR="004624D5" w:rsidRPr="00C2172B">
        <w:rPr>
          <w:rFonts w:ascii="Palatino Linotype" w:hAnsi="Palatino Linotype"/>
        </w:rPr>
        <w:t>y es localizada en sus archivos</w:t>
      </w:r>
      <w:r w:rsidR="004E4A6C" w:rsidRPr="00C2172B">
        <w:rPr>
          <w:rFonts w:ascii="Palatino Linotype" w:hAnsi="Palatino Linotype"/>
        </w:rPr>
        <w:t xml:space="preserve"> valorar si procede su entrega en su totalidad, en versión pública o debe restringirse el acceso por trat</w:t>
      </w:r>
      <w:r w:rsidR="00412842">
        <w:rPr>
          <w:rFonts w:ascii="Palatino Linotype" w:hAnsi="Palatino Linotype"/>
        </w:rPr>
        <w:t>arse de información clasificada.</w:t>
      </w:r>
    </w:p>
    <w:p w:rsidR="003E1553" w:rsidRPr="00C2172B" w:rsidRDefault="003E1553" w:rsidP="00B72322">
      <w:pPr>
        <w:spacing w:before="240" w:after="240" w:line="360" w:lineRule="auto"/>
        <w:jc w:val="both"/>
        <w:rPr>
          <w:rFonts w:ascii="Palatino Linotype" w:hAnsi="Palatino Linotype"/>
        </w:rPr>
      </w:pPr>
      <w:r w:rsidRPr="00C2172B">
        <w:rPr>
          <w:rFonts w:ascii="Palatino Linotype" w:hAnsi="Palatino Linotype"/>
        </w:rPr>
        <w:t xml:space="preserve">De tal manera que en los resolutivos, </w:t>
      </w:r>
      <w:r w:rsidR="00412842">
        <w:rPr>
          <w:rFonts w:ascii="Palatino Linotype" w:hAnsi="Palatino Linotype"/>
        </w:rPr>
        <w:t>se revoca la respuesta del Sujeto Obligado y ordena la</w:t>
      </w:r>
      <w:r w:rsidRPr="00C2172B">
        <w:rPr>
          <w:rFonts w:ascii="Palatino Linotype" w:hAnsi="Palatino Linotype"/>
        </w:rPr>
        <w:t xml:space="preserve"> entregar la información</w:t>
      </w:r>
      <w:r w:rsidR="00412842">
        <w:rPr>
          <w:rFonts w:ascii="Palatino Linotype" w:hAnsi="Palatino Linotype"/>
        </w:rPr>
        <w:t xml:space="preserve"> al mayor grado de desagregación</w:t>
      </w:r>
      <w:r w:rsidRPr="00C2172B">
        <w:rPr>
          <w:rFonts w:ascii="Palatino Linotype" w:hAnsi="Palatino Linotype"/>
        </w:rPr>
        <w:t>.</w:t>
      </w:r>
    </w:p>
    <w:p w:rsidR="00C26625" w:rsidRDefault="003E1553" w:rsidP="00B72322">
      <w:pPr>
        <w:spacing w:before="240" w:after="240" w:line="360" w:lineRule="auto"/>
        <w:jc w:val="both"/>
        <w:rPr>
          <w:rFonts w:ascii="Palatino Linotype" w:hAnsi="Palatino Linotype"/>
        </w:rPr>
      </w:pPr>
      <w:r w:rsidRPr="00C2172B">
        <w:rPr>
          <w:rFonts w:ascii="Palatino Linotype" w:hAnsi="Palatino Linotype"/>
        </w:rPr>
        <w:t>En otras palabras, en la resolu</w:t>
      </w:r>
      <w:r w:rsidR="00C26625">
        <w:rPr>
          <w:rFonts w:ascii="Palatino Linotype" w:hAnsi="Palatino Linotype"/>
        </w:rPr>
        <w:t>ción motivo del presente voto</w:t>
      </w:r>
      <w:r w:rsidRPr="00C2172B">
        <w:rPr>
          <w:rFonts w:ascii="Palatino Linotype" w:hAnsi="Palatino Linotype"/>
        </w:rPr>
        <w:t xml:space="preserve"> se </w:t>
      </w:r>
      <w:r w:rsidR="00C26625">
        <w:rPr>
          <w:rFonts w:ascii="Palatino Linotype" w:hAnsi="Palatino Linotype"/>
        </w:rPr>
        <w:t xml:space="preserve">debió </w:t>
      </w:r>
      <w:r w:rsidRPr="00C2172B">
        <w:rPr>
          <w:rFonts w:ascii="Palatino Linotype" w:hAnsi="Palatino Linotype"/>
        </w:rPr>
        <w:t>analiza si el Sujeto Obligado genera, posee o administra la información que le fue requerida en razón del ejercicio de las distinta</w:t>
      </w:r>
      <w:r w:rsidR="000C0CB6">
        <w:rPr>
          <w:rFonts w:ascii="Palatino Linotype" w:hAnsi="Palatino Linotype"/>
        </w:rPr>
        <w:t xml:space="preserve">s facultades, </w:t>
      </w:r>
      <w:r w:rsidRPr="00C2172B">
        <w:rPr>
          <w:rFonts w:ascii="Palatino Linotype" w:hAnsi="Palatino Linotype"/>
        </w:rPr>
        <w:t xml:space="preserve">competencias y funciones que los ordenamientos jurídicos le confieren; </w:t>
      </w:r>
      <w:r w:rsidR="00C26625">
        <w:rPr>
          <w:rFonts w:ascii="Palatino Linotype" w:hAnsi="Palatino Linotype"/>
        </w:rPr>
        <w:t xml:space="preserve">analizando punto por punto de la solicitud de acceso a la información, </w:t>
      </w:r>
      <w:r w:rsidRPr="00C2172B">
        <w:rPr>
          <w:rFonts w:ascii="Palatino Linotype" w:hAnsi="Palatino Linotype"/>
        </w:rPr>
        <w:t xml:space="preserve">por considerar que al devenir la </w:t>
      </w:r>
      <w:proofErr w:type="spellStart"/>
      <w:r w:rsidRPr="00C2172B">
        <w:rPr>
          <w:rFonts w:ascii="Palatino Linotype" w:hAnsi="Palatino Linotype"/>
        </w:rPr>
        <w:t>litis</w:t>
      </w:r>
      <w:proofErr w:type="spellEnd"/>
      <w:r w:rsidRPr="00C2172B">
        <w:rPr>
          <w:rFonts w:ascii="Palatino Linotype" w:hAnsi="Palatino Linotype"/>
        </w:rPr>
        <w:t xml:space="preserve"> </w:t>
      </w:r>
      <w:r w:rsidR="00C26625">
        <w:rPr>
          <w:rFonts w:ascii="Palatino Linotype" w:hAnsi="Palatino Linotype"/>
        </w:rPr>
        <w:t xml:space="preserve">deviene </w:t>
      </w:r>
      <w:r w:rsidRPr="00C2172B">
        <w:rPr>
          <w:rFonts w:ascii="Palatino Linotype" w:hAnsi="Palatino Linotype"/>
        </w:rPr>
        <w:t xml:space="preserve">de </w:t>
      </w:r>
      <w:r w:rsidR="00C26625">
        <w:rPr>
          <w:rFonts w:ascii="Palatino Linotype" w:hAnsi="Palatino Linotype"/>
        </w:rPr>
        <w:t xml:space="preserve">que </w:t>
      </w:r>
      <w:r w:rsidR="00412842">
        <w:rPr>
          <w:rFonts w:ascii="Palatino Linotype" w:hAnsi="Palatino Linotype"/>
        </w:rPr>
        <w:t>la información proporcionada por el Sujeto Obligado no corresponde con lo solicitado</w:t>
      </w:r>
      <w:r w:rsidR="00C26625">
        <w:rPr>
          <w:rFonts w:ascii="Palatino Linotype" w:hAnsi="Palatino Linotype"/>
        </w:rPr>
        <w:t>.</w:t>
      </w:r>
    </w:p>
    <w:p w:rsidR="006E67AC" w:rsidRPr="00C2172B" w:rsidRDefault="00CC10B2" w:rsidP="00B72322">
      <w:pPr>
        <w:spacing w:before="240" w:after="240" w:line="360" w:lineRule="auto"/>
        <w:jc w:val="both"/>
        <w:rPr>
          <w:rFonts w:ascii="Palatino Linotype" w:hAnsi="Palatino Linotype"/>
        </w:rPr>
      </w:pPr>
      <w:r w:rsidRPr="00C2172B">
        <w:rPr>
          <w:rFonts w:ascii="Palatino Linotype" w:hAnsi="Palatino Linotype"/>
        </w:rPr>
        <w:t>Lo anterior es la razón del presente voto, pues si bien comparto el deber para el Sujeto Obligado de dar atención a la</w:t>
      </w:r>
      <w:r w:rsidR="000C0CB6">
        <w:rPr>
          <w:rFonts w:ascii="Palatino Linotype" w:hAnsi="Palatino Linotype"/>
        </w:rPr>
        <w:t>s</w:t>
      </w:r>
      <w:r w:rsidRPr="00C2172B">
        <w:rPr>
          <w:rFonts w:ascii="Palatino Linotype" w:hAnsi="Palatino Linotype"/>
        </w:rPr>
        <w:t xml:space="preserve"> solicitud</w:t>
      </w:r>
      <w:r w:rsidR="000C0CB6">
        <w:rPr>
          <w:rFonts w:ascii="Palatino Linotype" w:hAnsi="Palatino Linotype"/>
        </w:rPr>
        <w:t>es</w:t>
      </w:r>
      <w:r w:rsidRPr="00C2172B">
        <w:rPr>
          <w:rFonts w:ascii="Palatino Linotype" w:hAnsi="Palatino Linotype"/>
        </w:rPr>
        <w:t xml:space="preserve"> de información, lo cual es incuestionable, lo cierto es que considero que la labor para este Órgano Garante no puede limitarse a ordenarle al </w:t>
      </w:r>
      <w:r w:rsidRPr="00C2172B">
        <w:rPr>
          <w:rFonts w:ascii="Palatino Linotype" w:hAnsi="Palatino Linotype"/>
        </w:rPr>
        <w:lastRenderedPageBreak/>
        <w:t>Sujeto Obligado la realización de lo que no hizo en un principio, ello por las consideraciones que a continuación explico.</w:t>
      </w:r>
    </w:p>
    <w:p w:rsidR="00CC10B2" w:rsidRDefault="00CC10B2" w:rsidP="00B72322">
      <w:pPr>
        <w:spacing w:before="240" w:after="240" w:line="360" w:lineRule="auto"/>
        <w:jc w:val="both"/>
        <w:rPr>
          <w:rFonts w:ascii="Palatino Linotype" w:hAnsi="Palatino Linotype"/>
        </w:rPr>
      </w:pPr>
      <w:r w:rsidRPr="00C2172B">
        <w:rPr>
          <w:rFonts w:ascii="Palatino Linotype" w:hAnsi="Palatino Linotype"/>
        </w:rPr>
        <w:t xml:space="preserve">En un primer momento es importante </w:t>
      </w:r>
      <w:r w:rsidR="00FA7542" w:rsidRPr="00C2172B">
        <w:rPr>
          <w:rFonts w:ascii="Palatino Linotype" w:hAnsi="Palatino Linotype"/>
        </w:rPr>
        <w:t>resal</w:t>
      </w:r>
      <w:r w:rsidR="006F328E" w:rsidRPr="00C2172B">
        <w:rPr>
          <w:rFonts w:ascii="Palatino Linotype" w:hAnsi="Palatino Linotype"/>
        </w:rPr>
        <w:t>tar que la Ley de Tr</w:t>
      </w:r>
      <w:r w:rsidR="003E2845" w:rsidRPr="00C2172B">
        <w:rPr>
          <w:rFonts w:ascii="Palatino Linotype" w:hAnsi="Palatino Linotype"/>
        </w:rPr>
        <w:t>a</w:t>
      </w:r>
      <w:r w:rsidR="006F328E" w:rsidRPr="00C2172B">
        <w:rPr>
          <w:rFonts w:ascii="Palatino Linotype" w:hAnsi="Palatino Linotype"/>
        </w:rPr>
        <w:t>nsparencia y Ac</w:t>
      </w:r>
      <w:r w:rsidR="003E2845" w:rsidRPr="00C2172B">
        <w:rPr>
          <w:rFonts w:ascii="Palatino Linotype" w:hAnsi="Palatino Linotype"/>
        </w:rPr>
        <w:t>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w:t>
      </w:r>
      <w:r w:rsidR="00CC2A00" w:rsidRPr="00C2172B">
        <w:rPr>
          <w:rFonts w:ascii="Palatino Linotype" w:hAnsi="Palatino Linotype"/>
        </w:rPr>
        <w:t>más disposiciones en la materia, tal y como se desprende de sus artículo 21 y 22, a saber:</w:t>
      </w:r>
    </w:p>
    <w:p w:rsidR="0066332D" w:rsidRPr="00C2172B" w:rsidRDefault="0066332D" w:rsidP="00B72322">
      <w:pPr>
        <w:spacing w:before="240" w:after="240" w:line="360" w:lineRule="auto"/>
        <w:jc w:val="both"/>
        <w:rPr>
          <w:rFonts w:ascii="Palatino Linotype" w:hAnsi="Palatino Linotype"/>
        </w:rPr>
      </w:pPr>
    </w:p>
    <w:p w:rsidR="00CC2A00" w:rsidRPr="00C2172B"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CC2A00"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66332D" w:rsidRPr="00C2172B" w:rsidRDefault="0066332D" w:rsidP="00CC2A00">
      <w:pPr>
        <w:spacing w:before="240" w:after="240" w:line="240" w:lineRule="auto"/>
        <w:ind w:left="851" w:right="900"/>
        <w:jc w:val="both"/>
        <w:rPr>
          <w:rFonts w:ascii="Palatino Linotype" w:hAnsi="Palatino Linotype"/>
          <w:i/>
        </w:rPr>
      </w:pPr>
    </w:p>
    <w:p w:rsidR="003E2845" w:rsidRPr="00C2172B" w:rsidRDefault="004A2418" w:rsidP="00B72322">
      <w:pPr>
        <w:spacing w:before="240" w:after="240" w:line="360" w:lineRule="auto"/>
        <w:jc w:val="both"/>
        <w:rPr>
          <w:rFonts w:ascii="Palatino Linotype" w:hAnsi="Palatino Linotype"/>
        </w:rPr>
      </w:pPr>
      <w:r>
        <w:rPr>
          <w:rFonts w:ascii="Palatino Linotype" w:hAnsi="Palatino Linotype"/>
        </w:rPr>
        <w:t>Ahora bien, como</w:t>
      </w:r>
      <w:r w:rsidR="003E2845" w:rsidRPr="00C2172B">
        <w:rPr>
          <w:rFonts w:ascii="Palatino Linotype" w:hAnsi="Palatino Linotype"/>
        </w:rPr>
        <w:t xml:space="preserve"> se refirió en la resolución que se comenta, </w:t>
      </w:r>
      <w:r w:rsidR="00206DA6" w:rsidRPr="00C2172B">
        <w:rPr>
          <w:rFonts w:ascii="Palatino Linotype" w:hAnsi="Palatino Linotype"/>
        </w:rPr>
        <w:t>este Ins</w:t>
      </w:r>
      <w:r w:rsidR="00CC2A00" w:rsidRPr="00C2172B">
        <w:rPr>
          <w:rFonts w:ascii="Palatino Linotype" w:hAnsi="Palatino Linotype"/>
        </w:rPr>
        <w:t>tituto de Transparencia, es el Ó</w:t>
      </w:r>
      <w:r w:rsidR="00206DA6" w:rsidRPr="00C2172B">
        <w:rPr>
          <w:rFonts w:ascii="Palatino Linotype" w:hAnsi="Palatino Linotype"/>
        </w:rPr>
        <w:t>rgano público estatal constitucionalmente autónomo, especializado, independiente, imparcial y colegiado, responsable de garantizar tanto el derecho de acceso a la información pública y la protección de datos personales en posesión de los sujetos obligados.</w:t>
      </w:r>
    </w:p>
    <w:p w:rsidR="00206DA6" w:rsidRPr="00C2172B" w:rsidRDefault="00206DA6" w:rsidP="00B72322">
      <w:pPr>
        <w:spacing w:before="240" w:after="240" w:line="360" w:lineRule="auto"/>
        <w:jc w:val="both"/>
        <w:rPr>
          <w:rFonts w:ascii="Palatino Linotype" w:hAnsi="Palatino Linotype"/>
        </w:rPr>
      </w:pPr>
      <w:r w:rsidRPr="00C2172B">
        <w:rPr>
          <w:rFonts w:ascii="Palatino Linotype" w:hAnsi="Palatino Linotype"/>
        </w:rPr>
        <w:lastRenderedPageBreak/>
        <w:t xml:space="preserve">En tal tesitura, si nos remitimos al significado de </w:t>
      </w:r>
      <w:r w:rsidRPr="00C2172B">
        <w:rPr>
          <w:rFonts w:ascii="Palatino Linotype" w:hAnsi="Palatino Linotype"/>
          <w:i/>
        </w:rPr>
        <w:t>garantizar</w:t>
      </w:r>
      <w:r w:rsidRPr="00C2172B">
        <w:rPr>
          <w:rFonts w:ascii="Palatino Linotype" w:hAnsi="Palatino Linotype"/>
        </w:rPr>
        <w:t xml:space="preserve"> tenemos que ello implica, asegurar, proteger, dar certeza o seguridad sobre algo; de tal manera que si ante </w:t>
      </w:r>
      <w:r w:rsidR="00C26625">
        <w:rPr>
          <w:rFonts w:ascii="Palatino Linotype" w:hAnsi="Palatino Linotype"/>
        </w:rPr>
        <w:t>una entrega de información que no corresponda a lo solicitado</w:t>
      </w:r>
      <w:r w:rsidRPr="00C2172B">
        <w:rPr>
          <w:rFonts w:ascii="Palatino Linotype" w:hAnsi="Palatino Linotype"/>
        </w:rPr>
        <w:t xml:space="preserve"> por parte de los Sujetos Obligados, el Órgano responsa</w:t>
      </w:r>
      <w:r w:rsidR="00CC2A00" w:rsidRPr="00C2172B">
        <w:rPr>
          <w:rFonts w:ascii="Palatino Linotype" w:hAnsi="Palatino Linotype"/>
        </w:rPr>
        <w:t>ble de garantizar dicho derecho</w:t>
      </w:r>
      <w:r w:rsidRPr="00C2172B">
        <w:rPr>
          <w:rFonts w:ascii="Palatino Linotype" w:hAnsi="Palatino Linotype"/>
        </w:rPr>
        <w:t xml:space="preserve"> se limita a referirle al Sujeto Obligado su deber de atender la solicitud de acceso a la información, explicándole el proceso que debe seguir para ello o las cuestiones que debe prever, </w:t>
      </w:r>
      <w:r w:rsidR="00C26625">
        <w:rPr>
          <w:rFonts w:ascii="Palatino Linotype" w:hAnsi="Palatino Linotype"/>
        </w:rPr>
        <w:t xml:space="preserve">lo que </w:t>
      </w:r>
      <w:r w:rsidRPr="00C2172B">
        <w:rPr>
          <w:rFonts w:ascii="Palatino Linotype" w:hAnsi="Palatino Linotype"/>
        </w:rPr>
        <w:t>no está</w:t>
      </w:r>
      <w:r w:rsidR="00053D8A" w:rsidRPr="00C2172B">
        <w:rPr>
          <w:rFonts w:ascii="Palatino Linotype" w:hAnsi="Palatino Linotype"/>
        </w:rPr>
        <w:t xml:space="preserve"> asegurando ni dando certeza de la atención al derecho del particular.</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t>Pues la Ley de Transparencia, ya es lo suficientemente clara señalando el procedimiento de acceso a la información pública,</w:t>
      </w:r>
      <w:r w:rsidR="00CC2A00" w:rsidRPr="00C2172B">
        <w:rPr>
          <w:rFonts w:ascii="Palatino Linotype" w:hAnsi="Palatino Linotype"/>
        </w:rPr>
        <w:t xml:space="preserve"> en su Título Séptimo, </w:t>
      </w:r>
      <w:r w:rsidR="00CC2A00" w:rsidRPr="00C2172B">
        <w:rPr>
          <w:rFonts w:ascii="Palatino Linotype" w:hAnsi="Palatino Linotype"/>
          <w:i/>
        </w:rPr>
        <w:t>Acceso a la Información Pública</w:t>
      </w:r>
      <w:r w:rsidR="00DB58A7" w:rsidRPr="00C2172B">
        <w:rPr>
          <w:rFonts w:ascii="Palatino Linotype" w:hAnsi="Palatino Linotype"/>
          <w:i/>
        </w:rPr>
        <w:t xml:space="preserve">, </w:t>
      </w:r>
      <w:r w:rsidR="00DB58A7" w:rsidRPr="00C2172B">
        <w:rPr>
          <w:rFonts w:ascii="Palatino Linotype" w:hAnsi="Palatino Linotype"/>
        </w:rPr>
        <w:t xml:space="preserve">Capítulo I, </w:t>
      </w:r>
      <w:r w:rsidR="00DB58A7" w:rsidRPr="00C2172B">
        <w:rPr>
          <w:rFonts w:ascii="Palatino Linotype" w:hAnsi="Palatino Linotype"/>
          <w:i/>
        </w:rPr>
        <w:t>Del Procedimiento de Acceso a la Información Pública,</w:t>
      </w:r>
      <w:r w:rsidRPr="00C2172B">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t>En otras palabras una resolución no puede ser solam</w:t>
      </w:r>
      <w:r w:rsidR="00DB58A7" w:rsidRPr="00C2172B">
        <w:rPr>
          <w:rFonts w:ascii="Palatino Linotype" w:hAnsi="Palatino Linotype"/>
        </w:rPr>
        <w:t xml:space="preserve">ente el medio donde se explique de manera extensa </w:t>
      </w:r>
      <w:r w:rsidRPr="00C2172B">
        <w:rPr>
          <w:rFonts w:ascii="Palatino Linotype" w:hAnsi="Palatino Linotype"/>
        </w:rPr>
        <w:t>lo dictado por la ley, sino debe ser el medio en el que se juzgu</w:t>
      </w:r>
      <w:r w:rsidR="005546F2" w:rsidRPr="00C2172B">
        <w:rPr>
          <w:rFonts w:ascii="Palatino Linotype" w:hAnsi="Palatino Linotype"/>
        </w:rPr>
        <w:t>e el actuar del Sujeto Obligado, pero que sin que se traduzca en una simple opinión</w:t>
      </w:r>
      <w:r w:rsidR="00DB58A7" w:rsidRPr="00C2172B">
        <w:rPr>
          <w:rFonts w:ascii="Palatino Linotype" w:hAnsi="Palatino Linotype"/>
        </w:rPr>
        <w:t>,</w:t>
      </w:r>
      <w:r w:rsidR="005546F2" w:rsidRPr="00C2172B">
        <w:rPr>
          <w:rFonts w:ascii="Palatino Linotype" w:hAnsi="Palatino Linotype"/>
        </w:rPr>
        <w:t xml:space="preserve"> sino en un medio que asegure la atención del derecho. </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 xml:space="preserve">En ese sentido, si la violación del derecho de acceso a la información del derecho de acceso a la información ya se ha materializado </w:t>
      </w:r>
      <w:r w:rsidR="00C26625">
        <w:rPr>
          <w:rFonts w:ascii="Palatino Linotype" w:hAnsi="Palatino Linotype"/>
        </w:rPr>
        <w:t xml:space="preserve">al no entregarse la información requerida en </w:t>
      </w:r>
      <w:r w:rsidRPr="00C2172B">
        <w:rPr>
          <w:rFonts w:ascii="Palatino Linotype" w:hAnsi="Palatino Linotype"/>
        </w:rPr>
        <w:t>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w:t>
      </w:r>
      <w:r w:rsidR="00DB58A7" w:rsidRPr="00C2172B">
        <w:rPr>
          <w:rFonts w:ascii="Palatino Linotype" w:hAnsi="Palatino Linotype"/>
        </w:rPr>
        <w:t xml:space="preserve"> Ley de Transparencia, </w:t>
      </w:r>
      <w:r w:rsidRPr="00C2172B">
        <w:rPr>
          <w:rFonts w:ascii="Palatino Linotype" w:hAnsi="Palatino Linotype"/>
        </w:rPr>
        <w:t xml:space="preserve">tanto General como Local y las demás disposiciones aplicables, </w:t>
      </w:r>
      <w:r w:rsidRPr="00C2172B">
        <w:rPr>
          <w:rFonts w:ascii="Palatino Linotype" w:hAnsi="Palatino Linotype"/>
        </w:rPr>
        <w:lastRenderedPageBreak/>
        <w:t>dado que una resolución no es una explicaci</w:t>
      </w:r>
      <w:r w:rsidR="00DB58A7" w:rsidRPr="00C2172B">
        <w:rPr>
          <w:rFonts w:ascii="Palatino Linotype" w:hAnsi="Palatino Linotype"/>
        </w:rPr>
        <w:t>ón sino una decisión del órgano juzgador con facultad para</w:t>
      </w:r>
      <w:r w:rsidRPr="00C2172B">
        <w:rPr>
          <w:rFonts w:ascii="Palatino Linotype" w:hAnsi="Palatino Linotype"/>
        </w:rPr>
        <w:t xml:space="preserve"> ello.</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 xml:space="preserve">Además de que analizar, la naturaleza de la información y la procedencia de su entrega, coadyuvaría a cumplir con observar los principios de sencillez y expedites que la Ley obliga a </w:t>
      </w:r>
      <w:r w:rsidR="003C7542" w:rsidRPr="00C2172B">
        <w:rPr>
          <w:rFonts w:ascii="Palatino Linotype" w:hAnsi="Palatino Linotype"/>
        </w:rPr>
        <w:t>tomar en consideración en el proceso de acceso a la info</w:t>
      </w:r>
      <w:r w:rsidR="004A2418">
        <w:rPr>
          <w:rFonts w:ascii="Palatino Linotype" w:hAnsi="Palatino Linotype"/>
        </w:rPr>
        <w:t>rmación, pues de lo contrario</w:t>
      </w:r>
      <w:r w:rsidR="003C7542" w:rsidRPr="00C2172B">
        <w:rPr>
          <w:rFonts w:ascii="Palatino Linotype" w:hAnsi="Palatino Linotype"/>
        </w:rPr>
        <w:t xml:space="preserve">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w:t>
      </w:r>
      <w:r w:rsidR="00A66720" w:rsidRPr="00C2172B">
        <w:rPr>
          <w:rFonts w:ascii="Palatino Linotype" w:hAnsi="Palatino Linotype"/>
        </w:rPr>
        <w:t>vería la atención a su derecho, cuando ello puede mejorarse, explicando la incompetencia del Sujeto Obligado, u ordenando la entrega de la información o del acuerdo que fundamente la restricción.</w:t>
      </w:r>
    </w:p>
    <w:p w:rsidR="001F6448" w:rsidRPr="008D60B1" w:rsidRDefault="001F6448" w:rsidP="001F6448">
      <w:pPr>
        <w:spacing w:before="240" w:after="240" w:line="360" w:lineRule="auto"/>
        <w:jc w:val="both"/>
        <w:rPr>
          <w:rFonts w:ascii="Palatino Linotype" w:hAnsi="Palatino Linotype"/>
        </w:rPr>
      </w:pPr>
      <w:r w:rsidRPr="008D60B1">
        <w:rPr>
          <w:rFonts w:ascii="Palatino Linotype" w:hAnsi="Palatino Linotype"/>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A51803" w:rsidRPr="00C2172B" w:rsidRDefault="00A51803" w:rsidP="00B72322">
      <w:pPr>
        <w:spacing w:before="240" w:after="240" w:line="360" w:lineRule="auto"/>
        <w:jc w:val="both"/>
        <w:rPr>
          <w:rFonts w:ascii="Palatino Linotype" w:hAnsi="Palatino Linotype"/>
        </w:rPr>
      </w:pPr>
      <w:r w:rsidRPr="00C2172B">
        <w:rPr>
          <w:rFonts w:ascii="Palatino Linotype" w:hAnsi="Palatino Linotype"/>
        </w:rPr>
        <w:t xml:space="preserve">Es decir, es factible y jurídicamente necesario que si existe obligación expresa por la Ley que rige la materia para hacer pública determinada información de los Sujetos Obligados </w:t>
      </w:r>
      <w:r w:rsidRPr="00C2172B">
        <w:rPr>
          <w:rFonts w:ascii="Palatino Linotype" w:hAnsi="Palatino Linotype"/>
        </w:rPr>
        <w:lastRenderedPageBreak/>
        <w:t xml:space="preserve">cuando se presente una solicitud de información al respecto, se ordene la entrega de dicha información, aun cuando el Sujeto Obligado </w:t>
      </w:r>
      <w:r w:rsidR="00C26625">
        <w:rPr>
          <w:rFonts w:ascii="Palatino Linotype" w:hAnsi="Palatino Linotype"/>
        </w:rPr>
        <w:t xml:space="preserve">no </w:t>
      </w:r>
      <w:r w:rsidRPr="00C2172B">
        <w:rPr>
          <w:rFonts w:ascii="Palatino Linotype" w:hAnsi="Palatino Linotype"/>
        </w:rPr>
        <w:t xml:space="preserve">haya </w:t>
      </w:r>
      <w:r w:rsidR="00C26625">
        <w:rPr>
          <w:rFonts w:ascii="Palatino Linotype" w:hAnsi="Palatino Linotype"/>
        </w:rPr>
        <w:t>entregado la información en un inicio</w:t>
      </w:r>
      <w:r w:rsidRPr="00C2172B">
        <w:rPr>
          <w:rFonts w:ascii="Palatino Linotype" w:hAnsi="Palatino Linotype"/>
        </w:rPr>
        <w:t>, pues no es necesario pedirle que analice sus facultades y la procedencia de la información cuando la publicidad de la información ya está expresamente ordenado por la Ley; incluso lo mismo ocurre, cuando s</w:t>
      </w:r>
      <w:r w:rsidR="004A2418">
        <w:rPr>
          <w:rFonts w:ascii="Palatino Linotype" w:hAnsi="Palatino Linotype"/>
        </w:rPr>
        <w:t>e localiza precepto normativo</w:t>
      </w:r>
      <w:r w:rsidRPr="00C2172B">
        <w:rPr>
          <w:rFonts w:ascii="Palatino Linotype" w:hAnsi="Palatino Linotype"/>
        </w:rPr>
        <w:t xml:space="preserve">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w:t>
      </w:r>
      <w:r w:rsidR="00DB58A7" w:rsidRPr="00C2172B">
        <w:rPr>
          <w:rFonts w:ascii="Palatino Linotype" w:hAnsi="Palatino Linotype"/>
        </w:rPr>
        <w:t>, por defecto en el actuar del Sujeto Obligado de que se trate</w:t>
      </w:r>
      <w:r w:rsidRPr="00C2172B">
        <w:rPr>
          <w:rFonts w:ascii="Palatino Linotype" w:hAnsi="Palatino Linotype"/>
        </w:rPr>
        <w:t>, ello debe asegurarse en la garantía secundaria (el recurso de revisión)</w:t>
      </w:r>
      <w:r w:rsidR="00DB58A7" w:rsidRPr="00C2172B">
        <w:rPr>
          <w:rFonts w:ascii="Palatino Linotype" w:hAnsi="Palatino Linotype"/>
        </w:rPr>
        <w:t xml:space="preserve"> correspondiéndole al Órgano Garante</w:t>
      </w:r>
      <w:r w:rsidRPr="00C2172B">
        <w:rPr>
          <w:rFonts w:ascii="Palatino Linotype" w:hAnsi="Palatino Linotype"/>
        </w:rPr>
        <w:t>.</w:t>
      </w:r>
    </w:p>
    <w:p w:rsidR="00A66720" w:rsidRPr="00C2172B" w:rsidRDefault="00A66720" w:rsidP="00B72322">
      <w:pPr>
        <w:spacing w:before="240" w:after="240" w:line="360" w:lineRule="auto"/>
        <w:jc w:val="both"/>
        <w:rPr>
          <w:rFonts w:ascii="Palatino Linotype" w:hAnsi="Palatino Linotype"/>
        </w:rPr>
      </w:pPr>
      <w:r w:rsidRPr="00C2172B">
        <w:rPr>
          <w:rFonts w:ascii="Palatino Linotype" w:hAnsi="Palatino Linotype"/>
        </w:rPr>
        <w:t>De ahí, que no se comparta que la resolución</w:t>
      </w:r>
      <w:r w:rsidR="00A51803" w:rsidRPr="00C2172B">
        <w:rPr>
          <w:rFonts w:ascii="Palatino Linotype" w:hAnsi="Palatino Linotype"/>
        </w:rPr>
        <w:t xml:space="preserve"> se limite </w:t>
      </w:r>
      <w:r w:rsidR="00CC2A00" w:rsidRPr="00C2172B">
        <w:rPr>
          <w:rFonts w:ascii="Palatino Linotype" w:hAnsi="Palatino Linotype"/>
        </w:rPr>
        <w:t>en los resolutivos a ordenar la atención a la</w:t>
      </w:r>
      <w:r w:rsidR="001F6448">
        <w:rPr>
          <w:rFonts w:ascii="Palatino Linotype" w:hAnsi="Palatino Linotype"/>
        </w:rPr>
        <w:t>s</w:t>
      </w:r>
      <w:r w:rsidR="00CC2A00" w:rsidRPr="00C2172B">
        <w:rPr>
          <w:rFonts w:ascii="Palatino Linotype" w:hAnsi="Palatino Linotype"/>
        </w:rPr>
        <w:t xml:space="preserve"> solicitud de información y en su caso la entrega de la información</w:t>
      </w:r>
      <w:r w:rsidR="004A2418">
        <w:rPr>
          <w:rFonts w:ascii="Palatino Linotype" w:hAnsi="Palatino Linotype"/>
        </w:rPr>
        <w:t>.</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00EE4D0D">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5F45EC" w:rsidP="00EE7577">
            <w:pPr>
              <w:jc w:val="center"/>
              <w:rPr>
                <w:rFonts w:ascii="Palatino Linotype" w:hAnsi="Palatino Linotype"/>
                <w:sz w:val="24"/>
                <w:szCs w:val="24"/>
              </w:rPr>
            </w:pPr>
            <w:r>
              <w:rPr>
                <w:rFonts w:ascii="Palatino Linotype" w:hAnsi="Palatino Linotype"/>
                <w:sz w:val="24"/>
                <w:szCs w:val="24"/>
              </w:rPr>
              <w:t>(Rúbrica)</w:t>
            </w:r>
            <w:bookmarkStart w:id="0" w:name="_GoBack"/>
            <w:bookmarkEnd w:id="0"/>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E16" w:rsidRDefault="00D42E16" w:rsidP="004E7F5E">
      <w:pPr>
        <w:spacing w:after="0" w:line="240" w:lineRule="auto"/>
      </w:pPr>
      <w:r>
        <w:separator/>
      </w:r>
    </w:p>
  </w:endnote>
  <w:endnote w:type="continuationSeparator" w:id="0">
    <w:p w:rsidR="00D42E16" w:rsidRDefault="00D42E1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5F45EC" w:rsidRPr="005F45EC">
          <w:rPr>
            <w:noProof/>
            <w:lang w:val="es-ES"/>
          </w:rPr>
          <w:t>8</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E16" w:rsidRDefault="00D42E16" w:rsidP="004E7F5E">
      <w:pPr>
        <w:spacing w:after="0" w:line="240" w:lineRule="auto"/>
      </w:pPr>
      <w:r>
        <w:separator/>
      </w:r>
    </w:p>
  </w:footnote>
  <w:footnote w:type="continuationSeparator" w:id="0">
    <w:p w:rsidR="00D42E16" w:rsidRDefault="00D42E16"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42E1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D42E16"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0E04FE"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04620</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42E1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390D"/>
    <w:rsid w:val="000C56D0"/>
    <w:rsid w:val="000C5730"/>
    <w:rsid w:val="000D14F0"/>
    <w:rsid w:val="000D3D02"/>
    <w:rsid w:val="000D5A94"/>
    <w:rsid w:val="000E04FE"/>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14FF"/>
    <w:rsid w:val="001C223A"/>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A85"/>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2842"/>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45EC"/>
    <w:rsid w:val="005F6A08"/>
    <w:rsid w:val="005F7076"/>
    <w:rsid w:val="00601212"/>
    <w:rsid w:val="00603C38"/>
    <w:rsid w:val="00606DDB"/>
    <w:rsid w:val="00606EA5"/>
    <w:rsid w:val="00611681"/>
    <w:rsid w:val="0061186A"/>
    <w:rsid w:val="00611952"/>
    <w:rsid w:val="00611DF2"/>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7FB4"/>
    <w:rsid w:val="00921880"/>
    <w:rsid w:val="0092406A"/>
    <w:rsid w:val="00924E3B"/>
    <w:rsid w:val="009273D1"/>
    <w:rsid w:val="00931E83"/>
    <w:rsid w:val="0093421E"/>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C7CFC"/>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D6BD9"/>
    <w:rsid w:val="00AE0EBE"/>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625"/>
    <w:rsid w:val="00C26812"/>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D6C5B"/>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2E16"/>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04B0"/>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4D0D"/>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4481"/>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8F53-A176-4670-A9F6-B50A5716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2776</Words>
  <Characters>15268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4</cp:revision>
  <cp:lastPrinted>2019-02-18T22:04:00Z</cp:lastPrinted>
  <dcterms:created xsi:type="dcterms:W3CDTF">2019-02-18T16:14:00Z</dcterms:created>
  <dcterms:modified xsi:type="dcterms:W3CDTF">2019-02-18T22:08:00Z</dcterms:modified>
</cp:coreProperties>
</file>